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CF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Возрастно-половой состав населения</w:t>
      </w:r>
    </w:p>
    <w:p w:rsidR="00000000" w:rsidRDefault="00D20CFD">
      <w:pPr>
        <w:ind w:left="360"/>
        <w:jc w:val="center"/>
        <w:rPr>
          <w:b/>
          <w:sz w:val="28"/>
          <w:szCs w:val="28"/>
        </w:rPr>
      </w:pPr>
    </w:p>
    <w:p w:rsidR="00000000" w:rsidRDefault="00D20CFD">
      <w:pPr>
        <w:ind w:left="360"/>
        <w:jc w:val="both"/>
        <w:rPr>
          <w:b/>
          <w:i/>
          <w:sz w:val="20"/>
          <w:szCs w:val="20"/>
        </w:rPr>
      </w:pPr>
    </w:p>
    <w:p w:rsidR="00000000" w:rsidRDefault="00D20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Всероссийской переписи населения, проведенной по состоянию на 14 октября 2010 года, на территории Камчатского края проживает 159,6 тыс. мужчин и 162,4 тыс. женщин, или 49,6% и 50,4%, соответственно. Соотношени</w:t>
      </w:r>
      <w:r>
        <w:rPr>
          <w:sz w:val="28"/>
          <w:szCs w:val="28"/>
        </w:rPr>
        <w:t>е между полами изменилось в пользу женского населения края – 1018 женщин на 1000 мужчин (городская местность – 1031, сельская местность – 974). Ухудшение соотношения полов происходит из-за высокой смертности мужчин трудоспособных возрастов.</w:t>
      </w:r>
    </w:p>
    <w:p w:rsidR="00000000" w:rsidRDefault="00D20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чи</w:t>
      </w:r>
      <w:r>
        <w:rPr>
          <w:sz w:val="28"/>
          <w:szCs w:val="28"/>
        </w:rPr>
        <w:t xml:space="preserve">сленности женщин над численностью мужчин на Камчатке отмечается с 50-летнего возраста (в 2002 году - с 49 лет), в целом по России с 30-летнего возраста (в 2002 году -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33-летнего).</w:t>
      </w:r>
    </w:p>
    <w:p w:rsidR="00000000" w:rsidRDefault="00D20CFD">
      <w:pPr>
        <w:pStyle w:val="a6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Численность населения трудоспособного возраста в крае сократилась по срав</w:t>
      </w:r>
      <w:r>
        <w:rPr>
          <w:rFonts w:ascii="Times New Roman" w:hAnsi="Times New Roman" w:cs="Times New Roman"/>
          <w:szCs w:val="28"/>
        </w:rPr>
        <w:t>нению с 2002 годом на 36 тыс. человек или 15%, и его удельный вес в структуре населения снизился  с 69% до 66% (в целом по России снижение составило 1 млн. человек). Сокращение рождаемости привело к снижению численности населения в возрасте моложе трудоспо</w:t>
      </w:r>
      <w:r>
        <w:rPr>
          <w:rFonts w:ascii="Times New Roman" w:hAnsi="Times New Roman" w:cs="Times New Roman"/>
          <w:szCs w:val="28"/>
        </w:rPr>
        <w:t xml:space="preserve">собного на 12 тыс. человек или с 18% и доли с 19%  до 17% (по России снижение на 3 млн. человек). </w:t>
      </w:r>
      <w:proofErr w:type="gramStart"/>
      <w:r>
        <w:rPr>
          <w:rFonts w:ascii="Times New Roman" w:hAnsi="Times New Roman" w:cs="Times New Roman"/>
          <w:szCs w:val="28"/>
        </w:rPr>
        <w:t xml:space="preserve">Численность населения старше трудоспособного возраста за </w:t>
      </w:r>
      <w:proofErr w:type="spellStart"/>
      <w:r>
        <w:rPr>
          <w:rFonts w:ascii="Times New Roman" w:hAnsi="Times New Roman" w:cs="Times New Roman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Cs w:val="28"/>
        </w:rPr>
        <w:t xml:space="preserve"> период выросла  с 44 до 56 тыс. человек или на 27%, при этом их доля в общей численност</w:t>
      </w:r>
      <w:r>
        <w:rPr>
          <w:rFonts w:ascii="Times New Roman" w:hAnsi="Times New Roman" w:cs="Times New Roman"/>
          <w:szCs w:val="28"/>
        </w:rPr>
        <w:t>и населения увеличилась с 12% до 17% (по России на 2 млн. человек).</w:t>
      </w:r>
      <w:proofErr w:type="gramEnd"/>
    </w:p>
    <w:p w:rsidR="00000000" w:rsidRDefault="00D20CFD">
      <w:pPr>
        <w:pStyle w:val="a6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проведении переписи 2010 года на территории края зафиксирована женщина в возрасте 103 лет, проживающая в г</w:t>
      </w:r>
      <w:proofErr w:type="gramStart"/>
      <w:r>
        <w:rPr>
          <w:rFonts w:ascii="Times New Roman" w:hAnsi="Times New Roman" w:cs="Times New Roman"/>
          <w:szCs w:val="28"/>
        </w:rPr>
        <w:t>.П</w:t>
      </w:r>
      <w:proofErr w:type="gramEnd"/>
      <w:r>
        <w:rPr>
          <w:rFonts w:ascii="Times New Roman" w:hAnsi="Times New Roman" w:cs="Times New Roman"/>
          <w:szCs w:val="28"/>
        </w:rPr>
        <w:t>етропавловске-Камчатском.</w:t>
      </w:r>
    </w:p>
    <w:p w:rsidR="00000000" w:rsidRDefault="00D20CFD">
      <w:pPr>
        <w:pStyle w:val="a6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Средний возраст населения Камчатского края составл</w:t>
      </w:r>
      <w:r>
        <w:rPr>
          <w:rFonts w:ascii="Times New Roman" w:hAnsi="Times New Roman" w:cs="Times New Roman"/>
          <w:szCs w:val="28"/>
        </w:rPr>
        <w:t xml:space="preserve">яет 37 лет, что на 2 года меньше, чем в среднем по России, в том числе 35 лет у мужчин и 39 лет – у женщин. </w:t>
      </w:r>
      <w:proofErr w:type="gramStart"/>
      <w:r>
        <w:rPr>
          <w:rFonts w:ascii="Times New Roman" w:hAnsi="Times New Roman" w:cs="Times New Roman"/>
          <w:szCs w:val="28"/>
        </w:rPr>
        <w:t>В городских поселениях средний возраст мужчин составляет 35 лет, женщин – 38 лет, в сельских – соответственно, 36 и 39 лет.</w:t>
      </w:r>
      <w:proofErr w:type="gramEnd"/>
      <w:r>
        <w:rPr>
          <w:rFonts w:ascii="Times New Roman" w:hAnsi="Times New Roman" w:cs="Times New Roman"/>
          <w:szCs w:val="28"/>
        </w:rPr>
        <w:t xml:space="preserve"> По сравнению с данными п</w:t>
      </w:r>
      <w:r>
        <w:rPr>
          <w:rFonts w:ascii="Times New Roman" w:hAnsi="Times New Roman" w:cs="Times New Roman"/>
          <w:szCs w:val="28"/>
        </w:rPr>
        <w:t>ереписи 2002 года население Камчатки стало старше на 3 года,  мужчины постарели на 2 года, женщины – на 3 года.</w:t>
      </w:r>
    </w:p>
    <w:p w:rsidR="00000000" w:rsidRDefault="00D20CFD"/>
    <w:p w:rsidR="00000000" w:rsidRDefault="00D20CF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Число женщин на 1000 мужчин</w:t>
      </w:r>
    </w:p>
    <w:p w:rsidR="00000000" w:rsidRDefault="00D20CF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(</w:t>
      </w:r>
      <w:proofErr w:type="gramStart"/>
      <w:r>
        <w:rPr>
          <w:bCs/>
          <w:sz w:val="28"/>
          <w:szCs w:val="28"/>
        </w:rPr>
        <w:t>человек</w:t>
      </w:r>
      <w:proofErr w:type="gramEnd"/>
      <w:r>
        <w:rPr>
          <w:bCs/>
          <w:sz w:val="28"/>
          <w:szCs w:val="28"/>
          <w:lang w:val="en-US"/>
        </w:rPr>
        <w:t>)</w:t>
      </w:r>
    </w:p>
    <w:p w:rsidR="00000000" w:rsidRDefault="00D20CFD">
      <w:pPr>
        <w:ind w:left="851"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179070</wp:posOffset>
            </wp:positionV>
            <wp:extent cx="6238240" cy="235521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jc w:val="center"/>
        <w:rPr>
          <w:sz w:val="28"/>
          <w:szCs w:val="28"/>
        </w:rPr>
      </w:pPr>
    </w:p>
    <w:p w:rsidR="00000000" w:rsidRDefault="00D20CFD">
      <w:pPr>
        <w:pBdr>
          <w:top w:val="single" w:sz="4" w:space="1" w:color="auto"/>
        </w:pBdr>
        <w:rPr>
          <w:lang w:val="en-US"/>
        </w:rPr>
      </w:pPr>
    </w:p>
    <w:p w:rsidR="00000000" w:rsidRDefault="00D20CFD">
      <w:pPr>
        <w:pStyle w:val="a3"/>
        <w:spacing w:before="0" w:beforeAutospacing="0" w:after="0" w:afterAutospacing="0"/>
        <w:jc w:val="right"/>
      </w:pPr>
      <w:r>
        <w:t>Территориальный орган Фед</w:t>
      </w:r>
      <w:r>
        <w:t>еральной службы</w:t>
      </w:r>
      <w:r>
        <w:br/>
        <w:t>государственной статистики по Камчатскому краю</w:t>
      </w:r>
    </w:p>
    <w:p w:rsidR="00000000" w:rsidRDefault="00D20CFD"/>
    <w:p w:rsidR="00D20CFD" w:rsidRDefault="00D20CFD">
      <w:pPr>
        <w:jc w:val="center"/>
        <w:rPr>
          <w:sz w:val="28"/>
          <w:szCs w:val="28"/>
        </w:rPr>
      </w:pPr>
    </w:p>
    <w:sectPr w:rsidR="00D20CFD">
      <w:pgSz w:w="11906" w:h="16838"/>
      <w:pgMar w:top="851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CA6"/>
    <w:rsid w:val="007A63EC"/>
    <w:rsid w:val="00BD0CA6"/>
    <w:rsid w:val="00D2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Arial Black" w:eastAsia="Times New Roman" w:hAnsi="Arial Black" w:cs="Times New Roman" w:hint="default"/>
      <w:sz w:val="28"/>
      <w:szCs w:val="24"/>
      <w:lang w:eastAsia="ru-RU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pPr>
      <w:jc w:val="both"/>
    </w:pPr>
    <w:rPr>
      <w:bCs/>
      <w:sz w:val="28"/>
    </w:rPr>
  </w:style>
  <w:style w:type="character" w:customStyle="1" w:styleId="a5">
    <w:name w:val="Основной текст Знак"/>
    <w:basedOn w:val="a0"/>
    <w:link w:val="a4"/>
    <w:semiHidden/>
    <w:locked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pPr>
      <w:ind w:firstLine="900"/>
      <w:jc w:val="both"/>
    </w:pPr>
    <w:rPr>
      <w:rFonts w:ascii="Arial" w:hAnsi="Arial" w:cs="Arial"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Pr>
      <w:rFonts w:ascii="Arial" w:eastAsia="Times New Roman" w:hAnsi="Arial" w:cs="Arial" w:hint="default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p3">
    <w:name w:val="p3"/>
    <w:basedOn w:val="a"/>
    <w:pPr>
      <w:spacing w:before="100" w:beforeAutospacing="1" w:after="100" w:afterAutospacing="1"/>
      <w:ind w:firstLine="225"/>
      <w:jc w:val="both"/>
    </w:pPr>
    <w:rPr>
      <w:rFonts w:ascii="Arial" w:eastAsia="Arial Unicode MS" w:hAnsi="Arial"/>
      <w:color w:val="1A1A1A"/>
      <w:sz w:val="20"/>
      <w:szCs w:val="20"/>
    </w:rPr>
  </w:style>
  <w:style w:type="paragraph" w:customStyle="1" w:styleId="xl24">
    <w:name w:val="xl24"/>
    <w:basedOn w:val="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3479043819074177E-2"/>
          <c:y val="4.8351648351648423E-2"/>
          <c:w val="0.91544820135723659"/>
          <c:h val="0.81516928314734249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  городское</c:v>
                </c:pt>
              </c:strCache>
            </c:strRef>
          </c:tx>
          <c:spPr>
            <a:solidFill>
              <a:srgbClr val="00B050"/>
            </a:solidFill>
            <a:ln w="28548">
              <a:solidFill>
                <a:schemeClr val="accent6">
                  <a:lumMod val="60000"/>
                  <a:lumOff val="4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1.125953629744113E-3"/>
                  <c:y val="0.1643613174317243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9065571315690488E-3"/>
                  <c:y val="0.1479262777803199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9819804495401455E-3"/>
                  <c:y val="0.1510656650302239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2262727746227427E-3"/>
                  <c:y val="0.1487871473602732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4196753314364269E-3"/>
                  <c:y val="0.1572983080674142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162177425813227E-3"/>
                  <c:y val="0.1663852647446982"/>
                </c:manualLayout>
              </c:layout>
              <c:tx>
                <c:rich>
                  <a:bodyPr/>
                  <a:lstStyle/>
                  <a:p>
                    <a:r>
                      <a:rPr lang="en-US" sz="1402" b="0">
                        <a:solidFill>
                          <a:sysClr val="windowText" lastClr="000000"/>
                        </a:solidFill>
                      </a:rPr>
                      <a:t>1031</a:t>
                    </a:r>
                    <a:endParaRPr lang="ru-RU" sz="140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0353804283516801E-2"/>
                  <c:y val="-1.729932779754850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8.8746893858715568E-3"/>
                  <c:y val="-1.97706603400555E-2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00B050"/>
              </a:solidFill>
            </c:spPr>
            <c:txPr>
              <a:bodyPr/>
              <a:lstStyle/>
              <a:p>
                <a:pPr>
                  <a:defRPr sz="1402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1959 г.</c:v>
                </c:pt>
                <c:pt idx="1">
                  <c:v>1970 г.</c:v>
                </c:pt>
                <c:pt idx="2">
                  <c:v>1979 г.</c:v>
                </c:pt>
                <c:pt idx="3">
                  <c:v>1989 г.</c:v>
                </c:pt>
                <c:pt idx="4">
                  <c:v>2002 г.</c:v>
                </c:pt>
                <c:pt idx="5">
                  <c:v>2010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993</c:v>
                </c:pt>
                <c:pt idx="1">
                  <c:v>861</c:v>
                </c:pt>
                <c:pt idx="2">
                  <c:v>895</c:v>
                </c:pt>
                <c:pt idx="3">
                  <c:v>911</c:v>
                </c:pt>
                <c:pt idx="4">
                  <c:v>966</c:v>
                </c:pt>
                <c:pt idx="5">
                  <c:v>1031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сельское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2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1.4790328694819755E-3"/>
                  <c:y val="0.1530434808805805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575221759884783E-3"/>
                  <c:y val="0.1410869589367846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402787743943864E-3"/>
                  <c:y val="0.1886255253102623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438447643401509E-3"/>
                  <c:y val="0.1556916151265254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649530039145345E-3"/>
                  <c:y val="0.16723088269823499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6439858733965081E-3"/>
                  <c:y val="0.18173913354568902"/>
                </c:manualLayout>
              </c:layout>
              <c:tx>
                <c:rich>
                  <a:bodyPr/>
                  <a:lstStyle/>
                  <a:p>
                    <a:r>
                      <a:rPr lang="ru-RU" sz="1402" b="0"/>
                      <a:t>974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1402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1959 г.</c:v>
                </c:pt>
                <c:pt idx="1">
                  <c:v>1970 г.</c:v>
                </c:pt>
                <c:pt idx="2">
                  <c:v>1979 г.</c:v>
                </c:pt>
                <c:pt idx="3">
                  <c:v>1989 г.</c:v>
                </c:pt>
                <c:pt idx="4">
                  <c:v>2002 г.</c:v>
                </c:pt>
                <c:pt idx="5">
                  <c:v>2010 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961</c:v>
                </c:pt>
                <c:pt idx="1">
                  <c:v>893</c:v>
                </c:pt>
                <c:pt idx="2">
                  <c:v>977</c:v>
                </c:pt>
                <c:pt idx="3">
                  <c:v>955</c:v>
                </c:pt>
                <c:pt idx="4">
                  <c:v>952</c:v>
                </c:pt>
                <c:pt idx="5">
                  <c:v>974</c:v>
                </c:pt>
              </c:numCache>
            </c:numRef>
          </c:val>
        </c:ser>
        <c:gapWidth val="145"/>
        <c:axId val="127460096"/>
        <c:axId val="127461632"/>
      </c:barChar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 все население</c:v>
                </c:pt>
              </c:strCache>
            </c:strRef>
          </c:tx>
          <c:spPr>
            <a:ln w="50794">
              <a:solidFill>
                <a:srgbClr val="FF0000"/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2902037864467934E-2"/>
                  <c:y val="-3.976042519274947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261446408298682E-2"/>
                  <c:y val="-4.164221228418705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064855223408195E-2"/>
                  <c:y val="-9.676968669581799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230792164363543E-2"/>
                  <c:y val="-7.3047570575959786E-2"/>
                </c:manualLayout>
              </c:layout>
              <c:tx>
                <c:rich>
                  <a:bodyPr/>
                  <a:lstStyle/>
                  <a:p>
                    <a:r>
                      <a:rPr lang="ru-RU" sz="1402" b="0"/>
                      <a:t>919</a:t>
                    </a:r>
                  </a:p>
                </c:rich>
              </c:tx>
              <c:dLblPos val="r"/>
            </c:dLbl>
            <c:dLbl>
              <c:idx val="4"/>
              <c:layout>
                <c:manualLayout>
                  <c:x val="-5.4217837504324642E-2"/>
                  <c:y val="-4.441574879177928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77127872693288E-3"/>
                  <c:y val="-2.8377251427203962E-2"/>
                </c:manualLayout>
              </c:layout>
              <c:tx>
                <c:rich>
                  <a:bodyPr/>
                  <a:lstStyle/>
                  <a:p>
                    <a:r>
                      <a:rPr lang="ru-RU" sz="1402" b="0"/>
                      <a:t>1018</a:t>
                    </a:r>
                  </a:p>
                </c:rich>
              </c:tx>
              <c:dLblPos val="r"/>
            </c:dLbl>
            <c:txPr>
              <a:bodyPr/>
              <a:lstStyle/>
              <a:p>
                <a:pPr>
                  <a:defRPr sz="1402" b="0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1959 г.</c:v>
                </c:pt>
                <c:pt idx="1">
                  <c:v>1970 г.</c:v>
                </c:pt>
                <c:pt idx="2">
                  <c:v>1979 г.</c:v>
                </c:pt>
                <c:pt idx="3">
                  <c:v>1989 г.</c:v>
                </c:pt>
                <c:pt idx="4">
                  <c:v>2002 г.</c:v>
                </c:pt>
                <c:pt idx="5">
                  <c:v>2010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981</c:v>
                </c:pt>
                <c:pt idx="1">
                  <c:v>869</c:v>
                </c:pt>
                <c:pt idx="2">
                  <c:v>909</c:v>
                </c:pt>
                <c:pt idx="3">
                  <c:v>919</c:v>
                </c:pt>
                <c:pt idx="4">
                  <c:v>963</c:v>
                </c:pt>
                <c:pt idx="5">
                  <c:v>1018</c:v>
                </c:pt>
              </c:numCache>
            </c:numRef>
          </c:val>
          <c:smooth val="1"/>
        </c:ser>
        <c:marker val="1"/>
        <c:axId val="127460096"/>
        <c:axId val="127461632"/>
      </c:lineChart>
      <c:catAx>
        <c:axId val="127460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461632"/>
        <c:crosses val="autoZero"/>
        <c:auto val="1"/>
        <c:lblAlgn val="ctr"/>
        <c:lblOffset val="100"/>
      </c:catAx>
      <c:valAx>
        <c:axId val="127461632"/>
        <c:scaling>
          <c:orientation val="minMax"/>
          <c:max val="1200"/>
          <c:min val="3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General" sourceLinked="1"/>
        <c:tickLblPos val="nextTo"/>
        <c:spPr>
          <a:ln>
            <a:solidFill>
              <a:srgbClr val="222268"/>
            </a:solidFill>
            <a:prstDash val="solid"/>
          </a:ln>
        </c:spPr>
        <c:txPr>
          <a:bodyPr rot="0" vert="horz"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460096"/>
        <c:crosses val="autoZero"/>
        <c:crossBetween val="between"/>
        <c:majorUnit val="10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39092096343344235"/>
          <c:y val="3.3929889963241047E-2"/>
          <c:w val="0.59708505389996824"/>
          <c:h val="8.7140773524674836E-2"/>
        </c:manualLayout>
      </c:layout>
      <c:txPr>
        <a:bodyPr/>
        <a:lstStyle/>
        <a:p>
          <a:pPr>
            <a:defRPr sz="128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402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0.78133</cdr:y>
    </cdr:from>
    <cdr:to>
      <cdr:x>0.07158</cdr:x>
      <cdr:y>0.85585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2248524"/>
          <a:ext cx="476018" cy="21444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dirty="0" smtClean="0"/>
            <a:t>0</a:t>
          </a:r>
          <a:endParaRPr lang="ru-RU" sz="12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stat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2012-03-06T05:09:00Z</cp:lastPrinted>
  <dcterms:created xsi:type="dcterms:W3CDTF">2018-12-24T03:59:00Z</dcterms:created>
  <dcterms:modified xsi:type="dcterms:W3CDTF">2018-12-24T03:59:00Z</dcterms:modified>
</cp:coreProperties>
</file>